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2021-2022 ուսումնական տարում Տավուշի մարզի 2-րդ դասարանում սովորողների ուսումնառության արդյունքների ոչ միավորային գնահատման՝ բնութագրերի ձևանմուշների վերաբերյալ</w:t>
          </w:r>
        </w:sdtContent>
      </w:sdt>
    </w:p>
    <w:p w:rsidR="00000000" w:rsidDel="00000000" w:rsidP="00000000" w:rsidRDefault="00000000" w:rsidRPr="00000000" w14:paraId="00000002">
      <w:pPr>
        <w:spacing w:after="0" w:before="240" w:line="360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Նախաբան</w:t>
          </w:r>
        </w:sdtContent>
      </w:sdt>
    </w:p>
    <w:p w:rsidR="00000000" w:rsidDel="00000000" w:rsidP="00000000" w:rsidRDefault="00000000" w:rsidRPr="00000000" w14:paraId="00000003">
      <w:pPr>
        <w:spacing w:after="0" w:before="240" w:line="360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Հանրակրթության պետական նոր չափորոշչով սահմանվել է, որ 1–4-րդ դասարաններում և 5-րդ դասարանի 1-ին կիսամյակում իրականացվելու է ոչ միավորային գնահատում, իսկ սովորողների ուսումնառության արդյունքների գնահատման նոր կարգի համաձայն՝ յուրաքանչյուր սովորողի համար որպես կիսամյակի ամփոփում կազմվելու է ուսումնական առաջադիմության բնութագիր բոլոր առարկաներից:</w:t>
          </w:r>
        </w:sdtContent>
      </w:sdt>
    </w:p>
    <w:p w:rsidR="00000000" w:rsidDel="00000000" w:rsidP="00000000" w:rsidRDefault="00000000" w:rsidRPr="00000000" w14:paraId="00000004">
      <w:pPr>
        <w:spacing w:after="0" w:before="240" w:line="360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Տավուշի մարզի փորձարկող 2-րդ դասարանի ուսպլանով նախատեսված բոլոր առարկաների վերջնարդյունքների հիման վրա կազմվել են բնութագրերի հնգաստիճան սանդղակներ` որպես օգնություն ուսուցչին:</w:t>
          </w:r>
        </w:sdtContent>
      </w:sdt>
    </w:p>
    <w:p w:rsidR="00000000" w:rsidDel="00000000" w:rsidP="00000000" w:rsidRDefault="00000000" w:rsidRPr="00000000" w14:paraId="00000005">
      <w:pPr>
        <w:spacing w:after="0" w:before="240" w:line="360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4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Յուրաքանչյուր աղյուսակի առաջին սյունակում տրված են տվյալ առարկայի ուսումնական ծրագրով սահմանված թեմաները (ԵՇԱ, Շախմատ, Մաթեմատիկա և այլն) կամ առարկայական չափորոշչով նախատեսված հիմնական հասկացություններն ու ենթահասկացությունները (օր.՝ Մայրենի), իսկ աղյուսակի առաջին տողում ներկայացված են Ա, Բ, Գ, Դ, Ե սյունակները՝ ցույց տալով առարկայական չափորոշչով սահմանված վերջնարդյունքների կատարման աստիճանը 1-ին կիսամյակի համար՝ նվազման կարգով:  </w:t>
          </w:r>
        </w:sdtContent>
      </w:sdt>
    </w:p>
    <w:p w:rsidR="00000000" w:rsidDel="00000000" w:rsidP="00000000" w:rsidRDefault="00000000" w:rsidRPr="00000000" w14:paraId="00000006">
      <w:pPr>
        <w:spacing w:after="0" w:before="240" w:line="360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5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Ամեն առարկայի ուսուցիչ կարող է կազմել յուրաքանչյուր սովորողի բնութագիրը՝ հաշվի առնելով հետևյալ սկզբունքները.</w:t>
          </w:r>
        </w:sdtContent>
      </w:sdt>
    </w:p>
    <w:p w:rsidR="00000000" w:rsidDel="00000000" w:rsidP="00000000" w:rsidRDefault="00000000" w:rsidRPr="00000000" w14:paraId="00000007">
      <w:pPr>
        <w:spacing w:after="0" w:line="360" w:lineRule="auto"/>
        <w:ind w:left="1080" w:firstLine="0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sdt>
        <w:sdtPr>
          <w:tag w:val="goog_rdk_6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Պետք է շարժվել վերևից ներքև և հորիզոնական՝ գնալով ձախից աջ (Ա-Ե):</w:t>
          </w:r>
        </w:sdtContent>
      </w:sdt>
    </w:p>
    <w:p w:rsidR="00000000" w:rsidDel="00000000" w:rsidP="00000000" w:rsidRDefault="00000000" w:rsidRPr="00000000" w14:paraId="00000008">
      <w:pPr>
        <w:spacing w:after="0" w:line="360" w:lineRule="auto"/>
        <w:ind w:left="1080" w:firstLine="0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sdt>
        <w:sdtPr>
          <w:tag w:val="goog_rdk_7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Կարելի է ընտրել որևէ սյունակի նկարագրությունն ամբողջությամբ կամ համադրել հատվածներ տարբեր սյունակներից քանի որ նույն վերջնարդյունքի կատարման մակարդակների բաժանումը պայմանական է:</w:t>
          </w:r>
        </w:sdtContent>
      </w:sdt>
    </w:p>
    <w:p w:rsidR="00000000" w:rsidDel="00000000" w:rsidP="00000000" w:rsidRDefault="00000000" w:rsidRPr="00000000" w14:paraId="00000009">
      <w:pPr>
        <w:spacing w:after="0" w:line="360" w:lineRule="auto"/>
        <w:ind w:left="1080" w:firstLine="0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sdt>
        <w:sdtPr>
          <w:tag w:val="goog_rdk_8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Պետք է խուսափել մակարդակների բաժանել երեխաներին, քանի որ քիչ հավանական է, որ որևէ սովորող բոլոր վերջնարդյունքների մասով կապահովի նույն մակարդակը:</w:t>
          </w:r>
        </w:sdtContent>
      </w:sdt>
    </w:p>
    <w:p w:rsidR="00000000" w:rsidDel="00000000" w:rsidP="00000000" w:rsidRDefault="00000000" w:rsidRPr="00000000" w14:paraId="0000000A">
      <w:pPr>
        <w:spacing w:after="0" w:line="360" w:lineRule="auto"/>
        <w:ind w:left="1080" w:firstLine="0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sdt>
        <w:sdtPr>
          <w:tag w:val="goog_rdk_9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Չի կարելի սյունակները համեմատել կամ նույնացնել միավորների (5-միավորային համակարգի կամ 10-միավորային համակարգի աստիճանների հետ):</w:t>
          </w:r>
        </w:sdtContent>
      </w:sdt>
    </w:p>
    <w:p w:rsidR="00000000" w:rsidDel="00000000" w:rsidP="00000000" w:rsidRDefault="00000000" w:rsidRPr="00000000" w14:paraId="0000000B">
      <w:pPr>
        <w:spacing w:after="0" w:line="360" w:lineRule="auto"/>
        <w:ind w:left="1080" w:firstLine="0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sdt>
        <w:sdtPr>
          <w:tag w:val="goog_rdk_10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Բոլոր բնութագրերը կազմվել են դրական շեշտադրմամբ. պետք է բացառել «Չի կարողանում», «Չգիտի», «Դժվարանում է» արտահայտությունները:</w:t>
          </w:r>
        </w:sdtContent>
      </w:sdt>
    </w:p>
    <w:p w:rsidR="00000000" w:rsidDel="00000000" w:rsidP="00000000" w:rsidRDefault="00000000" w:rsidRPr="00000000" w14:paraId="0000000C">
      <w:pPr>
        <w:spacing w:after="0" w:line="360" w:lineRule="auto"/>
        <w:ind w:left="1080" w:firstLine="0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sdt>
        <w:sdtPr>
          <w:tag w:val="goog_rdk_11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Ուսուցիչը կարող է ըստ անհրաժեշտության խմբագրել կամ լրամշակել ձևակերպումները՝ առավել հարմարեցնելով դրանք տվյալ սովորողի ցուցաբերած արդյունքին:</w:t>
          </w:r>
        </w:sdtContent>
      </w:sdt>
    </w:p>
    <w:p w:rsidR="00000000" w:rsidDel="00000000" w:rsidP="00000000" w:rsidRDefault="00000000" w:rsidRPr="00000000" w14:paraId="0000000D">
      <w:pPr>
        <w:spacing w:after="0" w:line="360" w:lineRule="auto"/>
        <w:ind w:left="1080" w:firstLine="0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sdt>
        <w:sdtPr>
          <w:tag w:val="goog_rdk_12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Բնութագիրը պետք է կցել սովորողի անձնական գործին:</w:t>
          </w:r>
        </w:sdtContent>
      </w:sdt>
    </w:p>
    <w:p w:rsidR="00000000" w:rsidDel="00000000" w:rsidP="00000000" w:rsidRDefault="00000000" w:rsidRPr="00000000" w14:paraId="0000000E">
      <w:pPr>
        <w:spacing w:after="0" w:before="240" w:line="360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13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 Ցուցումներ բնութագրերի կազմման վերաբերյալ</w:t>
          </w:r>
        </w:sdtContent>
      </w:sdt>
    </w:p>
    <w:p w:rsidR="00000000" w:rsidDel="00000000" w:rsidP="00000000" w:rsidRDefault="00000000" w:rsidRPr="00000000" w14:paraId="0000000F">
      <w:pPr>
        <w:spacing w:after="0" w:before="240" w:line="360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14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Ներկայացված աղյուսակների Ա սյունակում ներկայացված են առարկայի առաջին կիսամյակին ուսուցնավող թեմաների վերջնարդյունքները՝ ձևակերպված բնութագրի ձևով: Սյունակը ներկայացնում է վերջնարդյունքների ապահովման առավելագույն աստիճանը: Հաջորդ սյունակները ներկայացնում են յուրաքանչյուր վերջնարդյունքի ապահովման տարբեր աստիճանները նվազման կարգով: Վերջին՝ Ե սյունակում ներկայացված է վերջնարդյունքի ապահովման նվազագույն աստիճանը:</w:t>
          </w:r>
        </w:sdtContent>
      </w:sdt>
    </w:p>
    <w:p w:rsidR="00000000" w:rsidDel="00000000" w:rsidP="00000000" w:rsidRDefault="00000000" w:rsidRPr="00000000" w14:paraId="00000010">
      <w:pPr>
        <w:spacing w:after="0" w:before="240" w:line="360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15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Ուսուցիչը կարող է յուրաքանչյուր սյունակի բնութագրերին ծանոթանալով՝ ընտրել յուրաքանչյուր երեխայի համար այն ձևակերպումները, որոնք առավելապես համապատասխանում են նրա ուսումնառության արդյունքներին կիսամյակի ավարտին: Այս աշխատանքը կատարելիս ուսուցիչը պետք է հիմնվի ողջ կիսամյակի ընթացքում կիրառած ձևավորող գնահատման արդյունքների (ստուգաթերթերի, համառոտ գրառումների, ռուբրիկների, դիտարկումների, հայտորոշիչ առաջադրանքների և այլ գործիքների պարբերական կիրառման վերլուծությունների վրա):</w:t>
          </w:r>
        </w:sdtContent>
      </w:sdt>
    </w:p>
    <w:p w:rsidR="00000000" w:rsidDel="00000000" w:rsidP="00000000" w:rsidRDefault="00000000" w:rsidRPr="00000000" w14:paraId="00000011">
      <w:pPr>
        <w:spacing w:after="0" w:before="240" w:line="360" w:lineRule="auto"/>
        <w:jc w:val="both"/>
        <w:rPr>
          <w:rFonts w:ascii="GHEA Grapalat" w:cs="GHEA Grapalat" w:eastAsia="GHEA Grapalat" w:hAnsi="GHEA Grapalat"/>
          <w:b w:val="1"/>
        </w:rPr>
      </w:pPr>
      <w:sdt>
        <w:sdtPr>
          <w:tag w:val="goog_rdk_16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Բնութագրերը կարող են կազմվել տարբեր սյունակների բնութագրումներից ընտրված նկարագրություններից՝ ամբողջացնելով սովորողի ամփոփ բնութագիրը տվյալ առարկայից: Նույն տողից  միայն մեկ բնութագրիչ կարող է ներառվել կոնկրետ սովորողի բնութագրի մեջ, քանի որ յուրաքանչյուր տողում նկարագրված են նույն վերջնարդյունքի ապահովման տարբեր աստիճանները: Չի բացառվում, որ սյունակներից մեկի բնութագրումները լիովին համընկնեն կոնկրետ սովորողի առաջադիմության արդյունքներին, սակայն առավել հաճախ դա կլինի տարբեր սյունակներից առանձնացված բնութագրիչներից կազմված խճանկար:  </w:t>
          </w:r>
        </w:sdtContent>
      </w:sdt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GHEA Grapalat" w:cs="GHEA Grapalat" w:eastAsia="GHEA Grapalat" w:hAnsi="GHEA Grapalat"/>
          <w:b w:val="1"/>
        </w:rPr>
      </w:pPr>
      <w:bookmarkStart w:colFirst="0" w:colLast="0" w:name="_heading=h.bqldz1fvjtdd" w:id="0"/>
      <w:bookmarkEnd w:id="0"/>
      <w:r w:rsidDel="00000000" w:rsidR="00000000" w:rsidRPr="00000000">
        <w:rPr>
          <w:rFonts w:ascii="GHEA Grapalat" w:cs="GHEA Grapalat" w:eastAsia="GHEA Grapalat" w:hAnsi="GHEA Grapalat"/>
          <w:b w:val="1"/>
          <w:rtl w:val="0"/>
        </w:rPr>
        <w:t xml:space="preserve">«Կերպարվեստ» առարկայի կիսամյակային ամփոփոիչ բնութագրի ձևանմուշ</w:t>
      </w:r>
    </w:p>
    <w:p w:rsidR="00000000" w:rsidDel="00000000" w:rsidP="00000000" w:rsidRDefault="00000000" w:rsidRPr="00000000" w14:paraId="00000013">
      <w:pPr>
        <w:jc w:val="right"/>
        <w:rPr>
          <w:rFonts w:ascii="Merriweather" w:cs="Merriweather" w:eastAsia="Merriweather" w:hAnsi="Merriweather"/>
          <w:i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i w:val="1"/>
          <w:rtl w:val="0"/>
        </w:rPr>
        <w:t xml:space="preserve">Կազմեց Մարիամ Պետրոսյանը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3"/>
        <w:gridCol w:w="2569"/>
        <w:gridCol w:w="2802"/>
        <w:gridCol w:w="6"/>
        <w:gridCol w:w="2561"/>
        <w:gridCol w:w="2252"/>
        <w:gridCol w:w="2296"/>
        <w:tblGridChange w:id="0">
          <w:tblGrid>
            <w:gridCol w:w="2403"/>
            <w:gridCol w:w="2569"/>
            <w:gridCol w:w="2802"/>
            <w:gridCol w:w="6"/>
            <w:gridCol w:w="2561"/>
            <w:gridCol w:w="2252"/>
            <w:gridCol w:w="2296"/>
          </w:tblGrid>
        </w:tblGridChange>
      </w:tblGrid>
      <w:tr>
        <w:trPr>
          <w:cantSplit w:val="0"/>
          <w:trHeight w:val="608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5">
            <w:pPr>
              <w:ind w:right="80"/>
              <w:jc w:val="center"/>
              <w:rPr>
                <w:rFonts w:ascii="GHEA Grapalat" w:cs="GHEA Grapalat" w:eastAsia="GHEA Grapalat" w:hAnsi="GHEA Grapal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0"/>
                <w:szCs w:val="20"/>
                <w:rtl w:val="0"/>
              </w:rPr>
              <w:t xml:space="preserve">ԳՈՐԾՈՒՆԵՈՒԹՅԱՆ ՁԵՎԵՐ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6">
            <w:pPr>
              <w:ind w:right="80"/>
              <w:jc w:val="center"/>
              <w:rPr>
                <w:rFonts w:ascii="GHEA Grapalat" w:cs="GHEA Grapalat" w:eastAsia="GHEA Grapalat" w:hAnsi="GHEA Grapal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right="80"/>
              <w:jc w:val="center"/>
              <w:rPr>
                <w:rFonts w:ascii="GHEA Grapalat" w:cs="GHEA Grapalat" w:eastAsia="GHEA Grapalat" w:hAnsi="GHEA Grapal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0"/>
                <w:szCs w:val="20"/>
                <w:rtl w:val="0"/>
              </w:rPr>
              <w:t xml:space="preserve">Ա</w:t>
            </w:r>
          </w:p>
        </w:tc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18">
            <w:pPr>
              <w:ind w:right="80"/>
              <w:jc w:val="center"/>
              <w:rPr>
                <w:rFonts w:ascii="GHEA Grapalat" w:cs="GHEA Grapalat" w:eastAsia="GHEA Grapalat" w:hAnsi="GHEA Grapal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0"/>
                <w:szCs w:val="20"/>
                <w:rtl w:val="0"/>
              </w:rPr>
              <w:t xml:space="preserve">Բ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A">
            <w:pPr>
              <w:ind w:right="80"/>
              <w:jc w:val="center"/>
              <w:rPr>
                <w:rFonts w:ascii="GHEA Grapalat" w:cs="GHEA Grapalat" w:eastAsia="GHEA Grapalat" w:hAnsi="GHEA Grapal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0"/>
                <w:szCs w:val="20"/>
                <w:rtl w:val="0"/>
              </w:rPr>
              <w:t xml:space="preserve">Գ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B">
            <w:pPr>
              <w:ind w:right="80"/>
              <w:jc w:val="center"/>
              <w:rPr>
                <w:rFonts w:ascii="GHEA Grapalat" w:cs="GHEA Grapalat" w:eastAsia="GHEA Grapalat" w:hAnsi="GHEA Grapal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0"/>
                <w:szCs w:val="20"/>
                <w:rtl w:val="0"/>
              </w:rPr>
              <w:t xml:space="preserve">Դ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C">
            <w:pPr>
              <w:ind w:right="80"/>
              <w:jc w:val="center"/>
              <w:rPr>
                <w:rFonts w:ascii="GHEA Grapalat" w:cs="GHEA Grapalat" w:eastAsia="GHEA Grapalat" w:hAnsi="GHEA Grapal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0"/>
                <w:szCs w:val="20"/>
                <w:rtl w:val="0"/>
              </w:rPr>
              <w:t xml:space="preserve">Ե</w:t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D">
            <w:pPr>
              <w:ind w:right="80"/>
              <w:rPr>
                <w:rFonts w:ascii="GHEA Grapalat" w:cs="GHEA Grapalat" w:eastAsia="GHEA Grapalat" w:hAnsi="GHEA Grapal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  <w:rtl w:val="0"/>
              </w:rPr>
              <w:t xml:space="preserve">Նյութեր և միջոցներ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Մաքուր և կոկիկ է պահում նկարելու նյութերը և տարածքը առանց հիշեցումների: 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Սովորաբար դասի ավարտին, առանց հիշեցման պատշաճ կերպով մաքրում է աշխատանքային տարածքը, բայց աշխատանքի ընթացքում  կարող է խառնաշփոթ լինել: 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Պատշաճ կերպով մաքրում և խնամում է նյութերը, եթե հիշեցնեն: Ժամանակ առ ժամանակ կարող է նկատվել ամփույթ և խառնաշփոթ աշխատանքային տարածք: 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Աշակերտը մաքրում և խնամում է նյութերը օգնությամբ։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Ժամանակ առ ժամանակ կարող է նկատվել խառնաշփոթ: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7">
            <w:pPr>
              <w:ind w:right="80"/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  <w:rtl w:val="0"/>
              </w:rPr>
              <w:t xml:space="preserve">Պատկերներ, կոլաժներ, ծավալային աշխատանքներ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Աշխատանքներում զգալի ուշադրություն է դարձնում կառուցվածքին։ Նյութերը կոկիկ կտրտված են։ Բոլոր տարրերը խնամքով և ապահով կերպով ամրացված են հիմքին: Չկան անփույթ բծերի կամ սոսնձի հետքեր: 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Աշխատանքներում զգալի ուշադրություն է դարձնում կառուցվածքին։ 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Նյութերը կոկիկ կտրտված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c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են։ Բոլոր տարրերը խնամքով և ապահով կերպով ամրացված են հիմքին: Առկա են հազիվ նկատելի մի քանի անփույթ բծերի կամ սոսնձի հետքեր։ 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Աշխատանքներում որոշակի ուշադրություն է դարձնում կառուցվածքին։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Նյութերը կոկիկ կտրտված են։ Բոլոր տարրերը խնամքով և ապահով կերպով ամրացված են հիմքին: Առկա են նկատելի մի քանի անփույթ բծերի կամ սոսնձի հետքեր։ 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Աշխատանքը հասցնում է ավարտին։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Տպավորություն է, որ բծերի կամ սոսնձի հետքերն ակնհայտ են։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c00000"/>
                <w:sz w:val="20"/>
                <w:szCs w:val="20"/>
                <w:rtl w:val="0"/>
              </w:rPr>
              <w:t xml:space="preserve">Մասերը «ամրացված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են»: </w:t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2">
            <w:pPr>
              <w:ind w:right="80"/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  <w:rtl w:val="0"/>
              </w:rPr>
              <w:t xml:space="preserve">Կատարել աշխատանքներ՝ օգտագործելով կերպարվեստի տարրերը՝  գիծ,  ձև,  համաչափություն, ռիթմ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Աշխատանքներում արտահայտում է  սեփական փորձը և գիտելիքները։ 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Նկարագրում և բացատրում է աշխատանքի ընթացքը: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Մեծ հմտությամբ կիրառում է կերպարվեստի տարրեն ու դիզայնի սկզբունքները (գիծ,  ձև,  համաչափություն, ռիթմ)։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Գծերի, ձևերի, երկրաչափական պատկերների միջոցով ստանում է  ճանաչելի պատկերներ և հորինվածքներ։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Հմտորեն կիրառում է կերպարվեստի տարրերն ու դիզայնի սկզբունքները (գիծ, ձև,  համաչափություն, ռիթմ):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Փորձում է կիրառել կերպարվեստի տարրերն ու դիզայնի սկզբունքները։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Իր աշխատանքում  կիրառել է կերպարվեստի որոշ տարրեր ու դիզայնի սկզբունքներ: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Իր աշխատանքում  կարողանում է կիրառել կերպարվեստի որոշ տարրեր: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F">
            <w:pPr>
              <w:ind w:right="80"/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  <w:rtl w:val="0"/>
              </w:rPr>
              <w:t xml:space="preserve">Ստեղծագործական գործունեություն։</w:t>
            </w:r>
          </w:p>
          <w:p w:rsidR="00000000" w:rsidDel="00000000" w:rsidP="00000000" w:rsidRDefault="00000000" w:rsidRPr="00000000" w14:paraId="00000040">
            <w:pPr>
              <w:ind w:right="80"/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  <w:rtl w:val="0"/>
              </w:rPr>
              <w:t xml:space="preserve">Գույնի զգացողություն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Պատկերը գունավորում է ստեղծագործաբար, օգտագործում է թղթի ամբողջ մակերեսը։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Գույնի ընտրությունը և կիրառումը ցույց է տալիս գունային հարաբերությունների խոր գիտելիքներ: Գույնի ընտրությամբ շեշտադրում է արտահայտվող գաղափարը: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Աշխատանքը կատարում է ճշգրիտ։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Գույների ընտրությունը և կիրառումը ցույց է տալիս գունային հարաբերությունների իմացությունը: Գույները համապատասխանում են արտահայտվող գաղափարին։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Պատկերը գունավորում է ճշտությամբ։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Գույնի ընտրությունը և կիրառումը ցույց է տալիս գունային հարաբերությունների իմացությունը: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Պետք է աշխատի գունային հարաբերություններ ստեղծելու, այդ գիտելիքներն իր աշխատանքում օգտագործելու ուղղությամբ: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Աշխատում է գծով,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հիմնական միտքը փորձում է արտահայտել որոշակի գուներագների ընտրությամբ։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F">
            <w:pPr>
              <w:ind w:right="80"/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  <w:rtl w:val="0"/>
              </w:rPr>
              <w:t xml:space="preserve">Պատկերի կառուցում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Պատկերվող առարկաները ամբողջությամբ կառուցված է։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Պատկերված է միջավայրը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Պատկերվող առարկաները մասամբ կառուցված է։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Առկա է միջավայրը։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Առարկաները կառուցում է նմանությամբ, առանց միջավայրի։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Նշմարվում է պատկերվող օբյեկտի հետ նմանությունը։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9">
            <w:pPr>
              <w:ind w:right="80"/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  <w:rtl w:val="0"/>
              </w:rPr>
              <w:t xml:space="preserve">Աշխատանքի ավարտ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Միտքն արտահայտում է  հետաքրքիր։ 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Թեման պատկերում է հեշտությամբ։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Աշխատանքները արտահայտիչ են և մանրամասն: Նկարին հետաքրքրություն հաղորդելու համար օգտագործում է ձևեր, նախշեր, ստվեր և/կամ մակերեսներ: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Աշխատում է ոգևորությամբ, ազատ ստեղծագործում է։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Միտքն արտահայտում է։  Թեման պատկերում է հեշտությամբ,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նկարչությունը արտահայտիչ է և որոշ չափով մանրամասն: Քիչ է օգտագործում նախշեր, ստվերներ կամ մակերեսներ: Ունի ձիրք, սակայն չի զարգացնում այն։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Միտքն արտահայտում է որոշ չափով, թեման պատկերում  է առանց դժվարանալու։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Աշխատանքներում քիչ են մանրամասները: Այն հիմնականում ներկայացուցչական է՝ նախշի, ստվերի կամ մակերեսների շատ քիչ օգտագործմամբ: Կարող է բարելավվել իր աշխատանքը։</w:t>
            </w:r>
            <w:r w:rsidDel="00000000" w:rsidR="00000000" w:rsidRPr="00000000">
              <w:rPr>
                <w:rFonts w:ascii="GHEA Grapalat" w:cs="GHEA Grapalat" w:eastAsia="GHEA Grapalat" w:hAnsi="GHEA Grapalat"/>
                <w:rtl w:val="0"/>
              </w:rPr>
              <w:t xml:space="preserve"> 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Միտքն արտահայտում է որոշ չափով, պատկերում է թեմատիկ փոքր հատված: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Աշխատանքները ներկայացված են ընդհանուր մոտեցումներով։   Կարող է բարելավվել իր աշխատանքը։ 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Ուսուցչի օգնությամբ </w:t>
            </w:r>
            <w:r w:rsidDel="00000000" w:rsidR="00000000" w:rsidRPr="00000000">
              <w:rPr>
                <w:rFonts w:ascii="GHEA Grapalat" w:cs="GHEA Grapalat" w:eastAsia="GHEA Grapalat" w:hAnsi="GHEA Grapalat"/>
                <w:color w:val="c00000"/>
                <w:sz w:val="20"/>
                <w:szCs w:val="20"/>
                <w:rtl w:val="0"/>
              </w:rPr>
              <w:t xml:space="preserve">սկսում է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աշխատանքը։ </w:t>
            </w:r>
          </w:p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9">
            <w:pPr>
              <w:ind w:right="80"/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  <w:rtl w:val="0"/>
              </w:rPr>
              <w:t xml:space="preserve">Թղթապանակ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Աշխատանքներն ավարտուն տեսք ունեն՝ մաքուր, կոկիկ, առանց միջամտության։ Կարող է տեղադրվել աշխատանքային թղթապանակում: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Աշխատանքները մաքուր տեսք ունեն՝ հազիվ նկատելի ուղղորդումներով: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Կարող է տեղադրվել աշխատանքային թղթապանակում: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Աշխատանքները հաճախակի վերանայվել են՝ նկատելի են ռետինի և միջամտության հետքերը: 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Կարող է տեղադրվել աշխատանքային թղթապանակում: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Թղթապանակում տեղադրելու համար անհրաժեշտ է լրամշակում: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Թղթապանակում տեղադրելու համար անհրաժեշտ է լուրջ լրամշակում: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5">
            <w:pPr>
              <w:ind w:right="80"/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  <w:rtl w:val="0"/>
              </w:rPr>
              <w:t xml:space="preserve">Սեփական աշխատանքների մեկնաբանություն 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Մանրամասն նկարագրում է գործընթացի ցանկացած պահ, թե ինչպես է  պատկերացնում վերջնական արդյունքը և ինչպես է հասնելու նպատակին: Շատ կենտրոնացած և նպատակաուղղված է: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Որոշ չափով նկարագրում է, թե ինչպես է պատկերացնում վերջնական արդյունքը,  կարող է ներկայացնել այն քայլերը, որոնք  օգտագործում է նպատակին հասնելու համար: Պլանավորում է աշխատանքը: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Կարողանում է ներկայացնել իր  պատկերացումը վերջնական արդյունքի վերաբերյալ, սակայն դժվարանում է նկարագրել, թե ինչպես է հասնելու այդ նպատակին: Ձգտում է աշխատանքն ավարտել ժամանակին: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Ընդհանուր առմամբ պատկերացում ունի աշխատանքի կազմակերպման փուլերից։ </w:t>
            </w:r>
          </w:p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Փորձում է աշխատանքն ավարտել ժամանակին: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Պետք է աշխատի ժամանակը ճիշտ օգտագործելու ուղղությամբ։</w:t>
            </w:r>
          </w:p>
        </w:tc>
      </w:tr>
      <w:tr>
        <w:trPr>
          <w:cantSplit w:val="0"/>
          <w:trHeight w:val="2582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F">
            <w:pPr>
              <w:ind w:right="80"/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  <w:rtl w:val="0"/>
              </w:rPr>
              <w:t xml:space="preserve">Ընկերների աշխատանքների մեկնաբանություն և  վերլուծում</w:t>
            </w:r>
          </w:p>
          <w:p w:rsidR="00000000" w:rsidDel="00000000" w:rsidP="00000000" w:rsidRDefault="00000000" w:rsidRPr="00000000" w14:paraId="00000080">
            <w:pPr>
              <w:ind w:right="80"/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Մեկնաբանում և վերլուծում է՝ ինչն է հավանում, ինչը` ոչ,  հիմնավորում է իր կարծիքը:</w:t>
            </w:r>
          </w:p>
          <w:p w:rsidR="00000000" w:rsidDel="00000000" w:rsidP="00000000" w:rsidRDefault="00000000" w:rsidRPr="00000000" w14:paraId="00000082">
            <w:pPr>
              <w:tabs>
                <w:tab w:val="left" w:pos="2169"/>
              </w:tabs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Կատարում է աշխատանքներում նյութի և/կամ տարրերի ամբողջական և մանրամասն նկարագրություն: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Մեկնաբանում և վերլուծում է՝ ինչն է հավանում, ինչը` ոչ,  ներկայացնում է իր կարծիքը: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Կատարում է աշխատանքներում նյութի և/կամ տարրերի ընդահուր նկարագրություն: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Նկարագրում է աշխատանքներում նյութի և/կամ տարրերի մեծ մասը։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Նկարագրում է աշխատանքներում նյութի և/կամ տարրերի որոշ մասը։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Նկարագրություններն ընդհանուր են: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B">
            <w:pPr>
              <w:ind w:right="80"/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  <w:rtl w:val="0"/>
              </w:rPr>
              <w:t xml:space="preserve">Հայտնել կարծիք արվեստի տեսակների մասին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Խմբավորում և մեկնաբանում է ստեղծագործություններն ըստ տեսակների։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Կիրառում է համապատասխան բառեր և արտահայտություններ: 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Խմբավորում և մեկնաբանում է ստեղծագործություններն ըստ տեսակների։ Երբեմն կիրառում է համապատասխան բառեր և արտահայտություններ: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Խմբավորում է ստեղծագործություններն ըստ տեսակների։ Համապատասխան բառերը և արտահայտությունները հազվադեպ է կիրառում։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Փոքր ուղղորդումից հետո,  ճանաչում է ստեղծագործությունների տեսակները։ 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Ընդհանուր առմամբ ճանաչում է ստեղծագործությունների տեսակները։</w:t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93">
            <w:pPr>
              <w:ind w:right="80"/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  <w:rtl w:val="0"/>
              </w:rPr>
              <w:t xml:space="preserve">Ներկայացնել գիտելիքներ արվեստի պատմությունից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Կատարում է ստեղծագործության ճիշտ վերլուծություն` հիմնական առանձնահատկությունների, ժանրի, ոճի մեկնաբանմամբ:</w:t>
            </w:r>
          </w:p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Հիմնավորում է իր վերաբերմունքը կերպարվեստի ստեղծագործության վերաբերյալ: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Ազատ մեկնաբանում է կերպարվեստի ստեղծագործության սյուժետային բովանդակությունը։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Արտահայտում և հիմնավորում է իր վերաբերմունքը կերպարվեստի ստեղծագործության վերաբերյալ: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Կատարում է ստեղծագործության ամբողջական ընդարձակ վերարտադրում։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Կատարում է ստեղծագործության ընդհանրական վերարտադրում։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9D">
            <w:pPr>
              <w:ind w:right="80"/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  <w:rtl w:val="0"/>
              </w:rPr>
              <w:t xml:space="preserve">Ներկայացնել, թե ինչով է արվեստի ստեղագործությունը նման կամ տարբեր իրականությունից</w:t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Նկարագրում է արվեստի ստեղծագործությունները: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Մեկնաբանում է, թե մարդկանց կյանքի և գործունեության, որ կողմն է ներկայացված, և ինչպես։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Նկարագրում է արվեստի ստեղծագործությունները: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Մեկնաբանում է, թե ինչպես են դրանք արտահայտում մարդկանց կյանքն ու գործունեությունը։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Ներկայացնում է արվեստի ստեղծագործությունները: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Գտնում է իրեն ծանոթ առարկաները։ 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A7">
            <w:pPr>
              <w:ind w:right="80"/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  <w:rtl w:val="0"/>
              </w:rPr>
              <w:t xml:space="preserve">Ներկայացնել մշակութային հաստատություններն՝ ըստ նշանակության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Ծանոթ է մշակութային հաստատություններին։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Ներկայացնում է դրանց նշանակությունը։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Ծանոթ է մշակութային հաստատություններին։</w:t>
            </w:r>
          </w:p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Ներկայացնում է դրանց գործառույթները։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Ծանոթ է մշակութային հաստատություններին։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B2">
            <w:pPr>
              <w:ind w:right="80"/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1"/>
                <w:sz w:val="20"/>
                <w:szCs w:val="20"/>
                <w:rtl w:val="0"/>
              </w:rPr>
              <w:t xml:space="preserve">Աշխատանքները կապել սեփական փորձի հետ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Իր  գեղարվեստական գործունեությանը մոտենում է ստեղծագործաբար։ Հաճախ է անդրադառնում սեփական փորձին։   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B4">
            <w:pPr>
              <w:spacing w:line="276" w:lineRule="auto"/>
              <w:jc w:val="both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Իր  գեղարվեստական գործունեությանը մոտենում է ստեղծագործաբար։ Երբեմն անդրադառնում է  սեփական փորձին։   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Իր  գեղարվեստական գործունեությանը մոտենում է հետաքրքրությամբ։ Երբեմն անդրադառնում է  սեփական փորձին։   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B7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0"/>
                <w:szCs w:val="20"/>
                <w:rtl w:val="0"/>
              </w:rPr>
              <w:t xml:space="preserve">Իր  գեղարվեստական գործունեությանը մոտենում պատասխանատվությամբ։ Սեփական փորձին հազվադեպ է անդրադառնում։   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GHEA Grapalat" w:cs="GHEA Grapalat" w:eastAsia="GHEA Grapalat" w:hAnsi="GHEA Grapal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rFonts w:ascii="GHEA Grapalat" w:cs="GHEA Grapalat" w:eastAsia="GHEA Grapalat" w:hAnsi="GHEA Grapalat"/>
        </w:rPr>
      </w:pPr>
      <w:r w:rsidDel="00000000" w:rsidR="00000000" w:rsidRPr="00000000">
        <w:rPr>
          <w:rtl w:val="0"/>
        </w:rPr>
      </w:r>
    </w:p>
    <w:sectPr>
      <w:pgSz w:h="11907" w:w="16839" w:orient="landscape"/>
      <w:pgMar w:bottom="1440" w:top="1440" w:left="851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GHEA Grapalat"/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y-AM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103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11D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 w:val="1"/>
    <w:rsid w:val="0002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027DFB"/>
    <w:rPr>
      <w:rFonts w:ascii="Courier New" w:cs="Courier New" w:eastAsia="Times New Roman" w:hAnsi="Courier New"/>
      <w:sz w:val="20"/>
      <w:szCs w:val="20"/>
    </w:rPr>
  </w:style>
  <w:style w:type="character" w:styleId="y2iqfc" w:customStyle="1">
    <w:name w:val="y2iqfc"/>
    <w:basedOn w:val="DefaultParagraphFont"/>
    <w:rsid w:val="00027DF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L/+x/AWFmDzAol0YdjyqhnPTg==">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2021-12-23T12:24:00Z</dcterms:created>
  <dc:creator>Microsoft account</dc:creator>
</cp:coreProperties>
</file>