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Հեղինակ ուսուցիչ՝ Վարդանուշ Հովհաննիսյան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90.0" w:type="dxa"/>
        <w:jc w:val="left"/>
        <w:tblInd w:w="-6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4145"/>
        <w:tblGridChange w:id="0">
          <w:tblGrid>
            <w:gridCol w:w="1845"/>
            <w:gridCol w:w="1414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Առարկա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Համակարգչային գիտություն և թվային գրագիտություն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Դասարան և կիսամյակ</w:t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1"/>
              <w:pageBreakBefore w:val="0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VII դասարան, I կիսամյակ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Թեմայի գլուխ և թեմա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pageBreakBefore w:val="0"/>
              <w:spacing w:line="240" w:lineRule="auto"/>
              <w:rPr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8"/>
                <w:szCs w:val="28"/>
                <w:rtl w:val="0"/>
              </w:rPr>
              <w:t xml:space="preserve">Համակարգիչը և Հասարակությունը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pageBreakBefore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8"/>
                <w:szCs w:val="28"/>
                <w:rtl w:val="0"/>
              </w:rPr>
              <w:t xml:space="preserve">Պայքար կիբերհալածանքի դեմ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Օգտագործվող նյութեր՝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1f497d"/>
                <w:sz w:val="20"/>
                <w:szCs w:val="20"/>
                <w:rtl w:val="0"/>
              </w:rPr>
              <w:t xml:space="preserve">1. </w:t>
            </w:r>
            <w:hyperlink r:id="rId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https://youtu.be/asTti6y39xI</w:t>
              </w:r>
            </w:hyperlink>
            <w:r w:rsidDel="00000000" w:rsidR="00000000" w:rsidRPr="00000000">
              <w:rPr>
                <w:color w:val="1f497d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Կիբերհալածանք (հեղ.՝  UNICEF)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2.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http://safe.am/esafetykit/start.html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1f497d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Կիբերհետապնդման թեստ (հեղ՝ Safe.am)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http://safe.am/esafetykit/start.html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- Կիբերհետապնդման խաղ (հեղ.՝ Safe.am)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4. </w:t>
            </w:r>
            <w:hyperlink r:id="rId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http://safe.am/esafetykit/start.html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 Ոսկե կանոններ կիբերհետապնդման վերաբերյալ (հեղ.՝ Safe.am)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</w:t>
            </w: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http://millab.ge/ar/mil-resources/exercises/28/any/any/0/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Ամբողջական պատկեր և դասի նպատակ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Սովորողներն արդեն գիտեն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խուլիգանական «սադրիչ» գործողությունների  բացասական ազդեցության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հալածանքի տարածված վտանգների մասին։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 դասին սովորողները կիմանան կամ դասի նպատակն է՝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1f497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0"/>
                <w:szCs w:val="20"/>
                <w:rtl w:val="0"/>
              </w:rPr>
              <w:t xml:space="preserve">Ծանոթանալ կիբերհալածանքի հ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Այսօրվա դասի գիտելիքները սովորողները կօգտագործեն հաջորդ դասերին կիբեր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0"/>
                <w:szCs w:val="20"/>
                <w:rtl w:val="0"/>
              </w:rPr>
              <w:t xml:space="preserve">իմնական հայտնի ձևերին։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0"/>
                <w:szCs w:val="20"/>
                <w:rtl w:val="0"/>
              </w:rPr>
              <w:t xml:space="preserve">Իմանալ ինչն ենք համարում  կիբեր հալածանք։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0"/>
                <w:szCs w:val="20"/>
                <w:rtl w:val="0"/>
              </w:rPr>
              <w:t xml:space="preserve">Իմանալ ինչպե՞ս պաշտպանվել կիբեր հալածանքից։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1f497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հալածանքից խուսափելու և իրենց վարքը առցանց հարթակներում վերաարժևորելու համար։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 դասի թեման կապվում է իրական կյանքին հետևյալ կերպ</w:t>
            </w:r>
            <w:r w:rsidDel="00000000" w:rsidR="00000000" w:rsidRPr="00000000">
              <w:rPr>
                <w:rtl w:val="0"/>
              </w:rPr>
              <w:t xml:space="preserve">․</w:t>
            </w:r>
          </w:p>
          <w:p w:rsidR="00000000" w:rsidDel="00000000" w:rsidP="00000000" w:rsidRDefault="00000000" w:rsidRPr="00000000" w14:paraId="0000001E">
            <w:pPr>
              <w:pageBreakBefore w:val="0"/>
              <w:ind w:left="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Սովորողները պատասխանատվություն կստանձնեն իրենց գործողությունների համար՝ ձևավորելով դրական թվային հետք, կլինեն առավել պաշտպանված կիբերհալածանքներից, հոգեբանորեն ավելի պատրաստ կլինեն նման իրավիճակներին և հեշտությամբ կգտնեն ելքեր և լուծումներ:   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Վերջնարդյունքները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Այս դասին սովորողները կկարողանան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Սահմանել թե ինչ է կիբեր կռվարարությունը/բռնարարությունը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հալածանքը 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color w:val="1f497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Ճանաչել թե ինչ տեխնոլոգիաներ են օգտագործվում կիբեր կռվարարության համար 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color w:val="1f497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Ճանաչել և օրինակներով նկարագրել կիբեր կռվարարության իրավիճակներ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color w:val="1f497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Ճանաչել և նկարագրել թե ինչ ազդեցություն է ունենում կիբեր կռվարարությունը տուժող երեխայի վրա, ովքեր են կանգնում տուժողի կողքին և ովքեր են այն երեխաները որոնք կիբեր կռվարարություն են ցուցաբերում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3"/>
              </w:numPr>
              <w:spacing w:after="120" w:lineRule="auto"/>
              <w:ind w:left="720" w:hanging="360"/>
              <w:rPr>
                <w:color w:val="1f497d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Օրինակներով բացատրել թե ինչ միջոցներով է հնարավոր պայքարել կիբեր կռվարարության դեմ, հալածանքի դեմ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Ներկայացնել դասի հիմնական բաժիններն ու դրանց տևողությունը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Սկիզբ (3 րոպե)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Հիմնական մաս (7+4+7 րոպե)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Ամփոփում (3  րոպե)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Ընտրված մեթոդներ և մեթոդական հնարներ՝  Մտագրոհ,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sz w:val="20"/>
                <w:szCs w:val="20"/>
                <w:rtl w:val="0"/>
              </w:rPr>
              <w:t xml:space="preserve">Մտավոր փորձ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խմբային աշխատանք։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Տերմիններ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Կիբերհալածանք, կիբեր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0"/>
                <w:szCs w:val="20"/>
                <w:rtl w:val="0"/>
              </w:rPr>
              <w:t xml:space="preserve">բուլինգ</w:t>
            </w: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, կիբերհետապնդում, կիբերկռվարարություն, կիբերխուլիգան, կիբերհետապնդող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http://safe.am/esafetykit/start.html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- Կիբերհետապնդման խաղ (հեղ.՝ Safe.am)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color w:val="000000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http://safe.am/esafetykit/start.html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 Ոսկե կանոններ կիբերհետապնդման վերաբերյալ (հեղ.՝ Safe.am)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Խմբերով պատրաստել պաստառ, որտեղ նկարների և բանալի բառերի միջոցով կներկայացվի կիբերհալածանքի ձևերը և նրանցից պաշտպանությունը։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56.079437201499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48.4370595069067"/>
        <w:gridCol w:w="8257.642377694594"/>
        <w:gridCol w:w="3075"/>
        <w:gridCol w:w="675"/>
        <w:tblGridChange w:id="0">
          <w:tblGrid>
            <w:gridCol w:w="4048.4370595069067"/>
            <w:gridCol w:w="8257.642377694594"/>
            <w:gridCol w:w="3075"/>
            <w:gridCol w:w="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Գործողություններ սովորողների հետ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Ուղղորդող, գաղափարներ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Օգնականի առցանց գործողություններ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Տևող: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ՆԵրկայացնում եմ ներածական տեքստ։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  <w:rtl w:val="0"/>
              </w:rPr>
              <w:t xml:space="preserve">Ներածություն: </w:t>
            </w: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Դասի սկզբում ներկայացնում եմ, որ ընդամենը 2 տասնամյակ առաջ, քչերին էր հասանելի ինտերնետը։ Այժմ ամենօրյա հաղորդակցությունը հաճախ փոխարինվում է ինտերնետային կապով, որն էլ ունի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sz w:val="20"/>
                <w:szCs w:val="20"/>
                <w:rtl w:val="0"/>
              </w:rPr>
              <w:t xml:space="preserve">վարվելակարգի իր կանոնները</w:t>
            </w:r>
            <w:r w:rsidDel="00000000" w:rsidR="00000000" w:rsidRPr="00000000">
              <w:rPr>
                <w:color w:val="1f497d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Ցուցադրում եմ UNICEF–ի կողմից պատրաստված (համր) տեսանյութը կիբերհալածանքի թեմայով, որի քննարկումով էլ սկսում ենք դասը։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բացում է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Գլխավոր դոկը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և ցուցադրում է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UNICEF-ի կողմից պատրաստված տեսանյութը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Ցուցադրում եմ դասի թեմային լավագույնս առնչվող համր տեսանյութ, որի դիտումից հետո սկսում եմ դասը։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Խնրում եմ սովորողներին տեսանյութը դիտելիս և հարցերին պատասխանելիս կատարել ինքնուրույն գրառում իրենց նոթատետրերում։ 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գրում եմ թեմայի վերաբերյալ այն գաղափարը, որի շուրջ այնուհետև կառուցելու եմ դասը։ Մի քանի գաղափարի դեպքում կարող եմ դրանք դասավորել որոշակի աստիճանակարգով -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ընդհանուրից մասնավոր,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պարզից բարդ,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ոգևորողից՝ սակավ հետաքրքիր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Գ1/ 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Կիբերհալածանք, ազդեցությունը, հիմնական ձևերը: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Գ2/  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b w:val="1"/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Ինչպես պաշտպանվել կիբերհալածանքից։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https://www.youtube.com/watch?v=asTti6y39xI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հստակ գրում եմ հարցը յուրաքանչյուր գաղափարի համար՝ մտածելով, թե ինչու այս հարցը կարող է հետաքրքրություն առաջացնել յուրաքանչյուր աշակերտի մոտ: Ինչու՞ է կարևոր աշակերտին այս թեմայի շուրջ մտածել։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Հ1/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Ի՞նչ երևույթի ականատեսը եղաք մեր դիտած տեսանյութում: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Հ2/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Ի՞նչ տեխնոլոգիաներ կիրառվեցին հալածանք իրականացնելու համար: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Հ3/ 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Ուրիշ ի՞նչ նման օրինակներ կարող եք բերել և ինչպես կանվանեք տվյալ երևույթը։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12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 Հ1/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 Ի՞նչ ազդեցություն  ունեցավ կիբեր հալածանքը տուժող երեխայի վրա, ովքեր են այն երեխաները որոնք կիբեր կռվարարություն են ցուցաբերում: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120" w:lineRule="auto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12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 Հ2/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 Ովքե՞ր  կանգնեցին տուժողի կողքին և հարթեցին իրավիճակը։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 Հ3/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Ինչպե՞ս վարվել, պայքարել այսպիսի իրավիճակներում: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before="2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ցուցադրում է հարցերը և գրառում է հնչող պատասխանները։ Ուսուցչի հրահանգով մգեցվում են ակնկալվող պատասխանները։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 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յուրաքանչյուրին բարձրաձայն արտահայտել իր կարծիքը, որոնք </w:t>
            </w: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առանց մեկնաբանությունների ու քննադատությունների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գրառում եմ գրատախտակին։ 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Մեծաթիվ երեխաների դեպքում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կարող եմ խնդրել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զույգերով կամ եռյակներով միավորել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` ավելի մեծ խմբերում քննարկելու և հնչեցնելու ընդհանուր պատասխան։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կարծիքները, ըստ անհրաժեշտության, խմբավորում եմ։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Ինչ մտքեր եմ ակնկալում.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 1 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Տարբերվող արտաքինի պատճառով եղան նվաստացնող, ծաղրելի տեքստային հաղորդագրություններ, սպառնալիքներ, վիրավորական մեկնաբանություններ։ Անձի նկատմամբ կիրառվեց հոգեբանական տեռոր,  հեգնանք, ծաղրանք, տարածվեցին բամբասանքներ: 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Սոցիալական ցանցեր, SMS-ներ, էլեկտրոնային փոստ կամ այլ առցանց հարթակներ: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 3 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Ս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մս հաղորդագրությունների մեսինջեր/չատի, էլ.փոստի, սոցիալական կայքերի, ինտերնետ ֆորումների, առցանց խաղերի հետ կապված օրինակներ․․․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Տեղեկատվական տեխնոլոգիաների կիրառման միջոցով անձին ծաղրելը, վիրավորելը` առցանց կամ հեռախոսային հաղորդագրությունների ձևով, սոցիալական ցանցերում անձի մասին ծաղրական բովանդակությամբ տեղեկատվություն/լուսանկարներ տարածելը և այլն համարվում է կիբերհալածանք: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 4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Կիբերհալածանքն առաջացրեց հուզական և հոգեկան առողջության խնդիրներ, այդ թվում նաև դեպրեսիաներ ու անհանգստություն: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color w:val="366091"/>
                <w:sz w:val="26"/>
                <w:szCs w:val="26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Այն անձինք, որոնք կանխամտածված կիբերբուլինգի են ենթարկում մեկ այլ անձի (Կիբերբուլի):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 5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Վստահելի մեծահասակը։ Սպառնալիքի վտանգ զգացող անչափահասներին (առցանց, կամ ցանցից դուրս) անհրաժեշտ է վստահելի մեծահասակի օգնությունը:  Պետք է հիշել նաև, որ հետապնդում իրականացնող անձին նույնպես անհրաժեշտ է խորհրդատվություն, որպեսզի նման վարքը հետագայում չկրկնվի: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 6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Պահպանել կիբերանվտանգության կանոնները։ Պետք է տեղի ունեցած միջադեպի մասին անհապաղ հայտնել վստահելի մեծահասակի և հնարավորության դեպքում նրանց ցույց տալ վիրավորական բովանդակությամբ նյութը: Երեխաները չպետք է իրենց զգան միայնակ կամ էլ մտածեն, որ ինքնուրույն կարող են լուծել խնդիրը: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Ակնկակվող մտքերը չհնչելու դեպքում կարող եմ շարունակել մտագրոհը կամ տալ հետևյալ ուղղորդիչ հարցերը.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ՈՒՀ1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Շփվելիս մենք պարբերաբար մեկնաբանություններ ենք թողնում այն ​​նյութերի տակ, որոնց նկատմամբ անտարբեր չենք կամ ինքներս ենք ստանում մեկնաբանություններ: Գիտե՞ք, որ ինտերնետում կա հաղորդակցության վարվելակարգ: Երբեմն մարդիկ կարող են խախտել վարքի կանոնները ինտերնետում, և դրա համար նախատեսվում է վարչական և նույնիսկ քրեական պատասխանատվություն: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Ամփոփում եմ գաղափարները։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 խմբավորում եմ, կատարում եմ հավելումներ  և շտկումներ։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Ամբողջ խոսակցությունը հանգում է հետևյալ գաղափարներին.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color w:val="36609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Կիբեր-բռնությունը հաճախ տեղի է ունենում սոցիալական ցանցերի, SMS-ների կամ ակնթարթային հաղորդագրությունների, էլ. փոստի կամ ցանկացած այլ առցանց հարթակների միջոցով: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color w:val="36609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Բուլինգը վտանգավոր է դպրոցահասակ երեխաների համար նաև այն պատճառով, որ նրանց մոտ  հենց այս տարիքում է ձևավորվում ինքնաճանաչումն ու աշխարհընկալումը: 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color w:val="36609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Հալածվողը երբեք չպետք է արձագանքի վիրավորական բովանդակությամբ հաղորդագրությանը, քանի որ սա էլ ավելի կխրախուսի հետապնդողին շարունակել իր գործունեությունը: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color w:val="36609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Խնդրի անցնցում կարգավորման համար անելիք ունեն և՛ ծնողները, և՛ կրթության ոլորտի ներկայացուցիչները, և՛ իրավապահ մարմինները։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color w:val="36609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Դպրոցում տիրող միջավայրը չափազանց կարևոր է բոլոր աշակերտների համար, և այն մեծ ազդեցություն է թողնում նրանց հետագա կյանքի վրա: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b w:val="1"/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Բոլոր տեսակի առցանց հետապնդումները սովորական ոտնձգությունների  համեմատ ունեն շատ ավելի մեծ ազդեցություն,  քանի որ նրանց հեղինակները կարող են անանուն լինել, մինչդեռ զոհերը ահաբեկումից փախչելու տեղ չունեն. անկախ զոհերի գտնվելու վայրից</w:t>
            </w:r>
            <w:r w:rsidDel="00000000" w:rsidR="00000000" w:rsidRPr="00000000">
              <w:rPr>
                <w:color w:val="003366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վիրտուալ աշխարհում նրանց կարող են հետապնդել անընդհատ` գիշեր, թե ցերեկ և թողած հետքը կարող է մնալ հավերժ: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366091"/>
                <w:rtl w:val="0"/>
              </w:rPr>
              <w:t xml:space="preserve">Սովորողներն պետք է կարողանան պատասխանատվություն ստանձնել իրենց գործողությունների համար, բայց այնուամենայնիվ հետապնդման փաստը խարխլում է անձի ինքնավստահության աստիճանը և ինքնագնահատականը: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ցուցադրում է գլխավոր գաղափարները։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Սովորողներն բաժանում եմ խմբերի։ Մեծ լսարանի դեպքում 4, իսկ մինչև 15 հոգանոց լսարանի դեպքում 3 խմբի։</w:t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Թղթի կտորների վրա նախօրոք գրում եմ (յուրաքանչյուր խմբի համար երկու) տարբեր իրավիճակներ՝ երբ մարդկանց վնասում են դիտավորյալ կամ ոչ դիտավորյալ կերպով: Առաջարկում եմ խմբերին քաշել թղթի կտորներից երեքը և խմբի ներսում քննարկել այնտեղ ներկայացված իրավիճակը, որոշելով՝ արդյոք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ներկայացված իրավիճակը կիբերբուլիինգ է, թե ոչ, ինչպե՞ս կմեկնաբանեն տվյալ իրավիճակը և ի՞նչ ելքեր կառաջարկեն։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Խմբերին տալիս եմ 4 րոպե այդ հարցերի շուրջ մտածելու և ճիշտ եզրահանգումներ անելու համար։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Քարտերում գրում եմ հետևյալ իրավիճակները.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Ի1  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212225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Էմման իրեն վատ զգաց, երբ Ալիսը ավելի լավ գնահատական ստացավ մաթեմատիկայի թեսթի արդյունքում: Էմման կարգադրեց իր բոլոր ընկերներին, որ այլևս չխոսեն Ալիսի հետ և նրան ծաղրող նամակներ ուղարկեն: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Ի2</w:t>
            </w:r>
          </w:p>
          <w:p w:rsidR="00000000" w:rsidDel="00000000" w:rsidP="00000000" w:rsidRDefault="00000000" w:rsidRPr="00000000" w14:paraId="000000A3">
            <w:pPr>
              <w:pageBreakBefore w:val="0"/>
              <w:shd w:fill="ffffff" w:val="clear"/>
              <w:spacing w:after="280"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Ջոնիկը ընկերներին ուղարկեց Լեոյին վարկաբեկող մի լուսանկար, ինչպես նաև հաղորդագրություն, թե որքան հիմար է Լեոն լինում երբեմն: Լեոն լսեց, թե ինչպես էին Ջոնիկը և մյուս ընկերները փսփսում և ծիծաղում նրա ետևից: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Ի3</w:t>
            </w:r>
          </w:p>
          <w:p w:rsidR="00000000" w:rsidDel="00000000" w:rsidP="00000000" w:rsidRDefault="00000000" w:rsidRPr="00000000" w14:paraId="000000A5">
            <w:pPr>
              <w:pageBreakBefore w:val="0"/>
              <w:shd w:fill="ffffff" w:val="clear"/>
              <w:spacing w:after="280"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Արան հանկարծակի ուղարկեց ընկերներին Լեոյին վարկաբեկող մի լուսանկար: Լեոն իրեն վատ զգաց, և Արան միանգամից ներողություն խնդրեց: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Ի4</w:t>
            </w:r>
          </w:p>
          <w:p w:rsidR="00000000" w:rsidDel="00000000" w:rsidP="00000000" w:rsidRDefault="00000000" w:rsidRPr="00000000" w14:paraId="000000A7">
            <w:pPr>
              <w:pageBreakBefore w:val="0"/>
              <w:shd w:fill="ffffff" w:val="clear"/>
              <w:spacing w:after="280"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Մարկը սայթաքում է միջանցքում և բախվում Սիմոնին՝ վայր գցելով նրա ձեռքին եղած գրքերը: “Մի քիչ կամաց”, բարձր ասաց Սիմոնը, ինչին Մարկը արձագանքեց, “Չե՞ս նայում դիմացդ”։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Ի5</w:t>
            </w:r>
          </w:p>
          <w:p w:rsidR="00000000" w:rsidDel="00000000" w:rsidP="00000000" w:rsidRDefault="00000000" w:rsidRPr="00000000" w14:paraId="000000A9">
            <w:pPr>
              <w:pageBreakBefore w:val="0"/>
              <w:shd w:fill="ffffff" w:val="clear"/>
              <w:spacing w:after="280"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Էմման իրեն վատ զգաց, երբ Ալիսը ավելի լավ գնահատական ստացավ մաթեմատիկայի թեսթի արդյունքում: Նա չէր ուզում խոսել Ալիսի հետ հաջորդ դասերի ընթացքում, բայց իրեն ավելի լավ զգաց հաջորդ օրը: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Ի6</w:t>
            </w:r>
          </w:p>
          <w:p w:rsidR="00000000" w:rsidDel="00000000" w:rsidP="00000000" w:rsidRDefault="00000000" w:rsidRPr="00000000" w14:paraId="000000AB">
            <w:pPr>
              <w:pageBreakBefore w:val="0"/>
              <w:shd w:fill="ffffff" w:val="clear"/>
              <w:spacing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Մարկը անցնում է Սերգեյի կողքով միջանցքում և հրելով վայր գցում նրա գրքերը: Մարկի ընկերները նկարում են միջադեպը և միմյանց փոխանցելով տեսանյութը՝ ծիծաղում են և ծաղրում Սերգեյին: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Ի7</w:t>
            </w:r>
          </w:p>
          <w:p w:rsidR="00000000" w:rsidDel="00000000" w:rsidP="00000000" w:rsidRDefault="00000000" w:rsidRPr="00000000" w14:paraId="000000AE">
            <w:pPr>
              <w:pageBreakBefore w:val="0"/>
              <w:shd w:fill="ffffff" w:val="clear"/>
              <w:spacing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Աննան լուսանկար էր հրապարակել համացանցում, որի ետնապատկերում նշմարվում էր իր սենյակի աղքատիկ կահավորանքը։ Նկարի տակ Աննայի դասընկերները ծաղրող մեկնաբանություններով բուռն քննարկումներ սկսեցին ընտանիքի սահմանափակ կարողությունների մասին։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hd w:fill="ffffff" w:val="clear"/>
              <w:spacing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Հրայրի քիթը մեղուն խայթել էր, որի հետևանքով այտուցվել էր դեմքը։ Հեռավար դասի ընտացքում, երբ Հրայրը միացրեց տեսախցիկը, դասընկերները չկարողացան զսպել ծիծաղը, Հրայրը ևս ծիծաղեց և տված բացատրություններից հետո շարունակեցին դասը, իսկ Ալենը թաքուն տեսանկարեց էկրանը և Հրայրի լուսանկարը ուղարկեց մյուս ընկերներին։</w:t>
            </w:r>
          </w:p>
          <w:p w:rsidR="00000000" w:rsidDel="00000000" w:rsidP="00000000" w:rsidRDefault="00000000" w:rsidRPr="00000000" w14:paraId="000000B2">
            <w:pPr>
              <w:pageBreakBefore w:val="0"/>
              <w:shd w:fill="ffffff" w:val="clear"/>
              <w:spacing w:before="280" w:line="240" w:lineRule="auto"/>
              <w:rPr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բաժանում է դասարանը 3 կամ 4 խմբի։ Օգնականը ուղարկում է խմբերին իրենց տարբերակները (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)։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սովորողներին արտահայտվել իրենց որոշումների ինչպես նաև գործողությունների, զգացողությունների մասին։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Գրատախտակին գրում եմ այն գաղափարները, բառերը, որոնք կնպաստեն թեմայի ընկալման ամրապնդմանն ու դրա նկատմամբ հետաքրքրության բարձրացմանը։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նշում եմ աշակերտներից ակնկալվող գաղափարներից մի քանիսը։</w:t>
            </w:r>
          </w:p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ԱԳ1</w:t>
            </w:r>
          </w:p>
          <w:p w:rsidR="00000000" w:rsidDel="00000000" w:rsidP="00000000" w:rsidRDefault="00000000" w:rsidRPr="00000000" w14:paraId="000000BB">
            <w:pPr>
              <w:pageBreakBefore w:val="0"/>
              <w:shd w:fill="ffffff" w:val="clear"/>
              <w:spacing w:after="280"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Չպատասխանել հարձակվողին նույն կերպ և փորձել չպատասխանել խայթող մեկնաբանություններին և վիրավորանքներին։</w:t>
            </w:r>
          </w:p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ԱԳ2</w:t>
            </w:r>
          </w:p>
          <w:p w:rsidR="00000000" w:rsidDel="00000000" w:rsidP="00000000" w:rsidRDefault="00000000" w:rsidRPr="00000000" w14:paraId="000000BD">
            <w:pPr>
              <w:pageBreakBefore w:val="0"/>
              <w:shd w:fill="ffffff" w:val="clear"/>
              <w:spacing w:after="280" w:before="280"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Կիբերբուլինգը բացասական հոգեբանական ազդեցություն է թողնում մարդու վրա։</w:t>
            </w:r>
          </w:p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ԱԳ3</w:t>
            </w:r>
          </w:p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both"/>
              <w:rPr>
                <w:color w:val="36609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Չի կարելի մարդկանց ծաղրել արտաքին տեսքի, սոցիալական կարգավիճակի, սահմանափակ կարողությունների, կրոնական կամ գենդերային հատկանիշների պատճառով։</w:t>
            </w:r>
          </w:p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ԱԳ5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color w:val="366091"/>
              </w:rPr>
            </w:pPr>
            <w:r w:rsidDel="00000000" w:rsidR="00000000" w:rsidRPr="00000000">
              <w:rPr>
                <w:rFonts w:ascii="Tahoma" w:cs="Tahoma" w:eastAsia="Tahoma" w:hAnsi="Tahoma"/>
                <w:color w:val="366091"/>
                <w:rtl w:val="0"/>
              </w:rPr>
              <w:t xml:space="preserve">Ուրիշներին պետք է վերաբերվել, այնպես, ինչպես կցանկանայինք, որ ուրիշները  վարվեն մեզ հետ: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գրառում է քննարկման ընթացքում հնչող պատասխանները և ուսուցչի հրահանգով մգեցնում է ակնկալվող պատասխանները։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7ր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Ամփոփում եմ դասը՝ հանձնարարելով պատասխանել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«Կիբերհետապնդում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» առցանց թեստի հարցերին։</w:t>
            </w:r>
          </w:p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both"/>
              <w:rPr/>
            </w:pPr>
            <w:hyperlink r:id="rId2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http://safe.am/esafetykit/start.html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կամ անցնել այս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հղումով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և կատարել առաջադրանքը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Ունենալ նաև տպագիր տարբերակը։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Օգնականը ուղարկում է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օնլայն թեստի հղումը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3ր</w:t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1906" w:w="16838" w:orient="landscape"/>
      <w:pgMar w:bottom="561.6" w:top="561.6" w:left="1137.6000000000001" w:right="417.59999999999997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afe.am/esafetykit/start.html" TargetMode="External"/><Relationship Id="rId11" Type="http://schemas.openxmlformats.org/officeDocument/2006/relationships/hyperlink" Target="http://safe.am/esafetykit/start.html" TargetMode="External"/><Relationship Id="rId22" Type="http://schemas.openxmlformats.org/officeDocument/2006/relationships/hyperlink" Target="http://safe.am/esafetykit/start.html" TargetMode="External"/><Relationship Id="rId10" Type="http://schemas.openxmlformats.org/officeDocument/2006/relationships/hyperlink" Target="http://millab.ge/ar/mil-resources/exercises/28/any/any/0/" TargetMode="External"/><Relationship Id="rId21" Type="http://schemas.openxmlformats.org/officeDocument/2006/relationships/hyperlink" Target="https://quizizz.com/admin/quiz/5cf0a6ee453d6b001ad4e2fd/%D5%AF%D5%AB%D5%A2%D5%A5%D6%80%D5%B0%D5%A5%D5%BF%D5%A1%D5%BA%D5%B6%D5%A4%D5%B8%D6%82%D5%B4" TargetMode="External"/><Relationship Id="rId13" Type="http://schemas.openxmlformats.org/officeDocument/2006/relationships/hyperlink" Target="https://drive.google.com/file/d/13ey9lnF33CJFHRU3woVOXis3WudS30ff/view?usp=sharing" TargetMode="External"/><Relationship Id="rId12" Type="http://schemas.openxmlformats.org/officeDocument/2006/relationships/hyperlink" Target="http://safe.am/esafetykit/start.html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afe.am/esafetykit/start.html" TargetMode="External"/><Relationship Id="rId15" Type="http://schemas.openxmlformats.org/officeDocument/2006/relationships/hyperlink" Target="https://www.youtube.com/watch?v=asTti6y39xI" TargetMode="External"/><Relationship Id="rId14" Type="http://schemas.openxmlformats.org/officeDocument/2006/relationships/hyperlink" Target="https://youtu.be/asTti6y39xI" TargetMode="External"/><Relationship Id="rId17" Type="http://schemas.openxmlformats.org/officeDocument/2006/relationships/hyperlink" Target="https://docs.google.com/document/d/1cL2mHgQME95XhYb9qe31TaJtsUmrRiLEyegl9QVMmX0/edit?usp=sharing" TargetMode="External"/><Relationship Id="rId16" Type="http://schemas.openxmlformats.org/officeDocument/2006/relationships/hyperlink" Target="https://docs.google.com/document/d/1BFy1prevGxEcoT3Prfg6m6Gju1SZ_eAvbA_49QlbfK0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kA3M304OldoSPVWp93-eyQKdHql8fJHOM_fuXjw110g/edit?usp=sharing" TargetMode="External"/><Relationship Id="rId6" Type="http://schemas.openxmlformats.org/officeDocument/2006/relationships/hyperlink" Target="https://youtu.be/asTti6y39xI" TargetMode="External"/><Relationship Id="rId18" Type="http://schemas.openxmlformats.org/officeDocument/2006/relationships/hyperlink" Target="https://docs.google.com/document/d/1EuJI65k0dcjEVCVMECRyonUi45NrhiIRDYOj2Ac_yi0/edit?usp=sharing" TargetMode="External"/><Relationship Id="rId7" Type="http://schemas.openxmlformats.org/officeDocument/2006/relationships/hyperlink" Target="http://safe.am/esafetykit/start.html" TargetMode="External"/><Relationship Id="rId8" Type="http://schemas.openxmlformats.org/officeDocument/2006/relationships/hyperlink" Target="http://safe.am/esafetykit/start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