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7"/>
          <w:szCs w:val="27"/>
          <w:highlight w:val="white"/>
        </w:rPr>
      </w:pPr>
      <w:r w:rsidDel="00000000" w:rsidR="00000000" w:rsidRPr="00000000">
        <w:rPr>
          <w:rFonts w:ascii="Tahoma" w:cs="Tahoma" w:eastAsia="Tahoma" w:hAnsi="Tahoma"/>
          <w:b w:val="1"/>
          <w:sz w:val="27"/>
          <w:szCs w:val="27"/>
          <w:highlight w:val="white"/>
          <w:rtl w:val="0"/>
        </w:rPr>
        <w:t xml:space="preserve">ՏՆԱՅԻՆ ԱՇԽԱՏԱՆՔ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ՀՀ տարածքի  տասը մարզը և Երևան քաղաքը պատկերող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քարտեզը ներկել տարբերել գույներով և գրել անվանումները։ Կարելի է՝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1․ քարտեզը տպել, տպածը ներկել,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2․ Paint  ծրագրում ներբեռնել, այնտեղ ներկել և անվանումները գրել։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</w:rPr>
        <w:drawing>
          <wp:inline distB="114300" distT="114300" distL="114300" distR="114300">
            <wp:extent cx="5672435" cy="580950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2435" cy="58095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