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Ո՞րն է լավ թվային աշխատանքը 2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(Ուսուցչի համար)</w:t>
      </w:r>
    </w:p>
    <w:p w:rsidR="00000000" w:rsidDel="00000000" w:rsidP="00000000" w:rsidRDefault="00000000" w:rsidRPr="00000000" w14:paraId="00000003">
      <w:pPr>
        <w:jc w:val="both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ahoma" w:cs="Tahoma" w:eastAsia="Tahoma" w:hAnsi="Tahoma"/>
          <w:b w:val="1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rtl w:val="0"/>
        </w:rPr>
        <w:t xml:space="preserve">Բովանդակություն</w:t>
      </w:r>
    </w:p>
    <w:p w:rsidR="00000000" w:rsidDel="00000000" w:rsidP="00000000" w:rsidRDefault="00000000" w:rsidRPr="00000000" w14:paraId="00000005">
      <w:pPr>
        <w:spacing w:after="240" w:before="240" w:lineRule="auto"/>
        <w:ind w:left="-10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Բարելավում ենք աշխատանքը.</w:t>
      </w:r>
    </w:p>
    <w:p w:rsidR="00000000" w:rsidDel="00000000" w:rsidP="00000000" w:rsidRDefault="00000000" w:rsidRPr="00000000" w14:paraId="00000006">
      <w:pPr>
        <w:spacing w:after="240" w:before="240" w:lineRule="auto"/>
        <w:ind w:left="-100" w:firstLine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- լավ արտիֆակտի չափանիշներ: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1. Պլանավորեք հաշվողական արտիֆակտի զարգացումը` օգտագործելով կրկնվող գործընթաց, որը ներառում է՝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պլանի արտացոլումը և փոփոխումը` հաշվի առնելով հիմնական հատկանիշները,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ժամանակի և ռեսուրսների սահմանափակումները,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 օգտագործողի ակնկալիքները:</w:t>
      </w:r>
    </w:p>
    <w:p w:rsidR="00000000" w:rsidDel="00000000" w:rsidP="00000000" w:rsidRDefault="00000000" w:rsidRPr="00000000" w14:paraId="0000000C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2․ Ցանկացած դասարանի մակարդակով աշակերտները պետք է մասնակցեն ծրագրի պլանավորմանը և փաստաթղթերի ստեղծմանը: Ցածր դասարանների աշակերտները կարող են դա անել ուսուցիչների օգնությամբ: Ուսուցման ընթացքի հետ մեկտեղ սովորողները պետք է համակարգված պլանավորեն ծրագրի կամ արտիֆակտի զարգացումը, պետք է կարողանան մտածել և, անհրաժեշտության դեպքում, փոփոխել պլանը՝ վերջնական նպատակներին համապատասխանեցնելու համար:</w:t>
      </w:r>
    </w:p>
    <w:p w:rsidR="00000000" w:rsidDel="00000000" w:rsidP="00000000" w:rsidRDefault="00000000" w:rsidRPr="00000000" w14:paraId="0000000D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Սովորողները պետք է կարողանան ընտրել տրված հրամանների մի շարք՝ պարզ անիմացիոն պատմություններ ստեղծելու համար, ստեղծել արտիֆակտներ, որոնք լուծում են սոցիալական նշանակություն ունեցող խնդիրներ՝ փնտրելով լայն լսարանների կարծիքը:</w:t>
      </w:r>
    </w:p>
    <w:p w:rsidR="00000000" w:rsidDel="00000000" w:rsidP="00000000" w:rsidRDefault="00000000" w:rsidRPr="00000000" w14:paraId="0000000E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3. Փոփոխեք գոյություն ունեցող արտիֆակտը՝ այն բարելավելու կամ հարմարեցնելու համար, տվեք նրան անընդհատ ընդլայնելու հնարավորություն։</w:t>
      </w:r>
    </w:p>
    <w:p w:rsidR="00000000" w:rsidDel="00000000" w:rsidP="00000000" w:rsidRDefault="00000000" w:rsidRPr="00000000" w14:paraId="0000000F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Օրինակ, սովորողները կարող են փոփոխել  նախօրոք գրված կոդը՝ մեկ խաղացողով խաղից մի փոքր այլ կանոններով երկու խաղացողով խաղ ստեղծելու համար:</w:t>
      </w:r>
    </w:p>
    <w:p w:rsidR="00000000" w:rsidDel="00000000" w:rsidP="00000000" w:rsidRDefault="00000000" w:rsidRPr="00000000" w14:paraId="00000010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Փորձարկումն ու ճշգրտումը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հաշվարկային արտիֆակտի բարելավման կանխամտածված և կրկնվող գործընթացն է: Այս գործընթացը ներառում է վրիպազերծում (սխալների բացահայտում և ուղղում) և իրական արդյունքների համեմատումը նախատեսված արդյունքների հետ: Ցանկացած դասարանում աշակերտները պետք է կարողանան բացահայտել և ուղղել ծրագրերի սխալները, օգտագործել ռազմավարություններ՝ հաշվողական համակարգերի հետ կապված խնդիրների լուծման համար (անսարքությունների վերացում):   Օրինակ, սովորողը կարող է փորձել վերադասավորել ծրագրի հրամանների հաջորդականությունը: Սարքավորումների համատեքստում նրանք կարող են փորձել շտկել սարքը՝ վերանայելով այն կամ ստուգելով, թե արդյո՞ք այն միացված է ցանցին: Երբ սովորողները առաջադիմում են, նրանք պետք է ավելի հմուտ դառնան վրիպազերծման ծրագրերում և սկսեն դիտարկել տրամաբանական սխալները. դեպքեր, երբ ծրագիրն աշխատում է, բայց ոչ այնպես, ինչպես ցանկանում է: Այսպիսով, սովորողները կուսումնասիրեն ծրագրերը և կուղղեն իրենց սեփական մտածողությունը: Նրանք նաև արձագանքում են վերջնական օգտագործողների փոփոխվող կարիքներին և ակնկալիքներին, բարելավում են արտիֆակտների կատարումը, հուսալիությունը, օգտագործելիությունը և մատչելիությունը:</w:t>
      </w:r>
    </w:p>
    <w:p w:rsidR="00000000" w:rsidDel="00000000" w:rsidP="00000000" w:rsidRDefault="00000000" w:rsidRPr="00000000" w14:paraId="00000012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Ցանկացած դասարանում աշակերտները պետք է կարողանան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համեմատել արդյունքները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նախատեսված արդյունքների հետ, պետք է ստուգեն, թե արդյոք բավարարվել են տվյալ չափանիշներն ու սահմանափակումները: Նրանք պետք է փորձարկեն հաշվողական արտիֆակտները՝ հաշվի առնելով հնարավոր սխալները։ </w:t>
      </w: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Թեստավորումը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պետք է դառնա կանխամտածված գործընթաց։ Սովորողները պետք է կարողանան կանխատեսել սխալները և օգտագործել այդ գիտելիքները զարգացումը խթանելու համար: Նրանք կարող են փորձարկել իրենց ծրագիրը բոլոր հնարավոր սցենարների հետ կապված մուտքերով, անցնել իրենց ծրագրով, տող առ տող, բացահայտելու մի օղակ, որը չի ավարտվում այնպես, ինչպես սպասվում էր: Ի վերջո, բարձր դասարանների սովորողները պետք է անցնեն ավելի բարդ ռազմավարությունների կիրառման՝ սխալները հայտնաբերելու և շտկելու համար, ինչպես օրինակ՝ տպել հաշվիչի փոփոխականի արժեքը, երբ հանգույցն աշխատում է՝ որոշելու համար, թե քանի անգամ է աշխատում այն:</w:t>
      </w:r>
    </w:p>
    <w:p w:rsidR="00000000" w:rsidDel="00000000" w:rsidP="00000000" w:rsidRDefault="00000000" w:rsidRPr="00000000" w14:paraId="00000013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Գնահատեք և կատարելագործեք</w:t>
      </w: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հաշվողական արտիֆակտը մի քանի անգամ՝ դրա արդյունավետությունը, հուսալիությունը, օգտագործելիությունը և մատչելիությունը բարձրացնելու համար, ներառեք մի շարք վերջնական օգտագործողների հետադարձ կապ, որոնք կօգնեն ուղղորդել ընտրացանկերի և կոճակների չափը և տեղադրումը օգտատիրոջ միջերեսում:</w:t>
      </w:r>
    </w:p>
    <w:p w:rsidR="00000000" w:rsidDel="00000000" w:rsidP="00000000" w:rsidRDefault="00000000" w:rsidRPr="00000000" w14:paraId="00000015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Այն բանից հետո, երբ ուսանողները ձեռք բերեն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փորձի փորձարկում, վրիպազերծում և վերանայում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, նրանք պետք է սկսեն գնահատել և կատարելագործել իրենց հաշվողական արտիֆակտները: Գնահատման և կատարելագործման գործընթացը պետք է կենտրոնանա կատարողականի և հուսալիության բարելավման վրա: Օրինակ՝ սովորողները կարող են դիտարկել ռոբոտը տարբեր լուսավորության պայմաններում՝ որոշելու համար, որ լույսի սենսորը պետք է ավելի քիչ զգայուն լինի: Հետագայում գնահատումը և ճշգրտումը պետք է դառնան կրկնվող գործընթաց՝ արտիֆակտներն ավելի օգտագործելի և մատչելի դարձնելու համար։</w:t>
      </w:r>
    </w:p>
    <w:p w:rsidR="00000000" w:rsidDel="00000000" w:rsidP="00000000" w:rsidRDefault="00000000" w:rsidRPr="00000000" w14:paraId="00000016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Աշակերտների հետ կարելի է քննարկել հետևյալ օրինակները․</w:t>
      </w:r>
    </w:p>
    <w:p w:rsidR="00000000" w:rsidDel="00000000" w:rsidP="00000000" w:rsidRDefault="00000000" w:rsidRPr="00000000" w14:paraId="00000019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u w:val="single"/>
          <w:rtl w:val="0"/>
        </w:rPr>
        <w:t xml:space="preserve">Օրինակ 1՝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Թարգմանել որևէ տեքստ ինքնուրույն և գուգլի թարգմանիչի կամ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grammarly ծրագրի (հղումը՝ </w:t>
      </w:r>
      <w:hyperlink r:id="rId6">
        <w:r w:rsidDel="00000000" w:rsidR="00000000" w:rsidRPr="00000000">
          <w:rPr>
            <w:rFonts w:ascii="Tahoma" w:cs="Tahoma" w:eastAsia="Tahoma" w:hAnsi="Tahoma"/>
            <w:color w:val="1155cc"/>
            <w:sz w:val="26"/>
            <w:szCs w:val="26"/>
            <w:u w:val="single"/>
            <w:rtl w:val="0"/>
          </w:rPr>
          <w:t xml:space="preserve">https://app.grammarly.com/?fbclid=IwAR1JP4GX6PNA6zvLLBMP_4hDlSC2LJhoIaKrsn1TeqNWb9tN0QJWxOHhNmI</w:t>
        </w:r>
      </w:hyperlink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)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 միջոցով։ Կատարել </w:t>
      </w:r>
    </w:p>
    <w:p w:rsidR="00000000" w:rsidDel="00000000" w:rsidP="00000000" w:rsidRDefault="00000000" w:rsidRPr="00000000" w14:paraId="0000001B">
      <w:pPr>
        <w:ind w:left="0" w:firstLine="0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համեմատություն։</w:t>
      </w:r>
    </w:p>
    <w:p w:rsidR="00000000" w:rsidDel="00000000" w:rsidP="00000000" w:rsidRDefault="00000000" w:rsidRPr="00000000" w14:paraId="0000001C">
      <w:pPr>
        <w:ind w:left="0" w:firstLine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Չափանիշները պետք է սահմանել այնպես, որ արտիֆակտն անընդհատ ընդլայնվելու հնարավորություն ունենա։</w:t>
      </w:r>
    </w:p>
    <w:p w:rsidR="00000000" w:rsidDel="00000000" w:rsidP="00000000" w:rsidRDefault="00000000" w:rsidRPr="00000000" w14:paraId="0000001D">
      <w:pPr>
        <w:jc w:val="both"/>
        <w:rPr>
          <w:rFonts w:ascii="Tahoma" w:cs="Tahoma" w:eastAsia="Tahoma" w:hAnsi="Tahoma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b w:val="1"/>
          <w:sz w:val="26"/>
          <w:szCs w:val="26"/>
          <w:u w:val="single"/>
          <w:rtl w:val="0"/>
        </w:rPr>
        <w:t xml:space="preserve">Օրինակ 2՝ 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Բիսկվիթ</w:t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(թխվածք թխել)։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սովորական,</w:t>
      </w:r>
    </w:p>
    <w:p w:rsidR="00000000" w:rsidDel="00000000" w:rsidP="00000000" w:rsidRDefault="00000000" w:rsidRPr="00000000" w14:paraId="00000020">
      <w:pPr>
        <w:ind w:left="720" w:firstLine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</w:rPr>
        <w:drawing>
          <wp:inline distB="114300" distT="114300" distL="114300" distR="114300">
            <wp:extent cx="2505075" cy="1410756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8573" l="0" r="5054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41075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կրեմով, </w:t>
      </w:r>
    </w:p>
    <w:p w:rsidR="00000000" w:rsidDel="00000000" w:rsidP="00000000" w:rsidRDefault="00000000" w:rsidRPr="00000000" w14:paraId="00000022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304800</wp:posOffset>
            </wp:positionH>
            <wp:positionV relativeFrom="paragraph">
              <wp:posOffset>172023</wp:posOffset>
            </wp:positionV>
            <wp:extent cx="2400300" cy="1455179"/>
            <wp:effectExtent b="0" l="0" r="0" t="0"/>
            <wp:wrapTopAndBottom distB="114300" distT="11430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5666" r="10333" t="9855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45517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jc w:val="both"/>
        <w:rPr>
          <w:rFonts w:ascii="Tahoma" w:cs="Tahoma" w:eastAsia="Tahoma" w:hAnsi="Tahoma"/>
          <w:sz w:val="26"/>
          <w:szCs w:val="26"/>
          <w:u w:val="none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մրգերով և այլն։</w:t>
      </w:r>
    </w:p>
    <w:p w:rsidR="00000000" w:rsidDel="00000000" w:rsidP="00000000" w:rsidRDefault="00000000" w:rsidRPr="00000000" w14:paraId="00000024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Fonts w:ascii="Tahoma" w:cs="Tahoma" w:eastAsia="Tahoma" w:hAnsi="Tahoma"/>
          <w:sz w:val="26"/>
          <w:szCs w:val="26"/>
        </w:rPr>
        <w:drawing>
          <wp:inline distB="114300" distT="114300" distL="114300" distR="114300">
            <wp:extent cx="2053309" cy="1538288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53309" cy="1538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   </w:t>
      </w:r>
      <w:r w:rsidDel="00000000" w:rsidR="00000000" w:rsidRPr="00000000">
        <w:rPr>
          <w:rFonts w:ascii="Tahoma" w:cs="Tahoma" w:eastAsia="Tahoma" w:hAnsi="Tahoma"/>
          <w:sz w:val="26"/>
          <w:szCs w:val="26"/>
        </w:rPr>
        <w:drawing>
          <wp:inline distB="114300" distT="114300" distL="114300" distR="114300">
            <wp:extent cx="1712863" cy="164782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12863" cy="1647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6"/>
          <w:szCs w:val="26"/>
          <w:u w:val="none"/>
        </w:rPr>
      </w:pPr>
      <w:hyperlink r:id="rId11">
        <w:r w:rsidDel="00000000" w:rsidR="00000000" w:rsidRPr="00000000">
          <w:rPr>
            <w:rFonts w:ascii="Tahoma" w:cs="Tahoma" w:eastAsia="Tahoma" w:hAnsi="Tahoma"/>
            <w:color w:val="1155cc"/>
            <w:sz w:val="26"/>
            <w:szCs w:val="26"/>
            <w:u w:val="single"/>
            <w:rtl w:val="0"/>
          </w:rPr>
          <w:t xml:space="preserve">https://computing-concepts.cs.uri.edu/wiki/Computing_As_A_Creative_Activity_and_Computational_Artifacts</w:t>
        </w:r>
      </w:hyperlink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6"/>
          <w:szCs w:val="26"/>
          <w:u w:val="none"/>
        </w:rPr>
      </w:pPr>
      <w:hyperlink r:id="rId12">
        <w:r w:rsidDel="00000000" w:rsidR="00000000" w:rsidRPr="00000000">
          <w:rPr>
            <w:rFonts w:ascii="Tahoma" w:cs="Tahoma" w:eastAsia="Tahoma" w:hAnsi="Tahoma"/>
            <w:color w:val="1155cc"/>
            <w:sz w:val="26"/>
            <w:szCs w:val="26"/>
            <w:u w:val="single"/>
            <w:rtl w:val="0"/>
          </w:rPr>
          <w:t xml:space="preserve">https://www.ibm.com/docs/ru/elm/7.0.1?topic=testing-managing-test-artifacts</w:t>
        </w:r>
      </w:hyperlink>
      <w:r w:rsidDel="00000000" w:rsidR="00000000" w:rsidRPr="00000000">
        <w:rPr>
          <w:rFonts w:ascii="Tahoma" w:cs="Tahoma" w:eastAsia="Tahoma" w:hAnsi="Tahoma"/>
          <w:sz w:val="26"/>
          <w:szCs w:val="26"/>
          <w:rtl w:val="0"/>
        </w:rPr>
        <w:t xml:space="preserve">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6"/>
          <w:szCs w:val="26"/>
          <w:u w:val="none"/>
        </w:rPr>
      </w:pPr>
      <w:hyperlink r:id="rId13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Նկար սարքելու որակ լավացնելու ծրագրի մասին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jc w:val="both"/>
        <w:rPr>
          <w:rFonts w:ascii="Tahoma" w:cs="Tahoma" w:eastAsia="Tahoma" w:hAnsi="Tahoma"/>
          <w:sz w:val="26"/>
          <w:szCs w:val="26"/>
          <w:u w:val="none"/>
        </w:rPr>
      </w:pPr>
      <w:hyperlink r:id="rId14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Armenian PowerSpell 2016 (Word/Excel/PowerPoint)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jc w:val="both"/>
        <w:rPr>
          <w:rFonts w:ascii="Tahoma" w:cs="Tahoma" w:eastAsia="Tahoma" w:hAnsi="Tahom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omputing-concepts.cs.uri.edu/wiki/Computing_As_A_Creative_Activity_and_Computational_Artifacts" TargetMode="External"/><Relationship Id="rId10" Type="http://schemas.openxmlformats.org/officeDocument/2006/relationships/image" Target="media/image2.jpg"/><Relationship Id="rId13" Type="http://schemas.openxmlformats.org/officeDocument/2006/relationships/hyperlink" Target="https://www.youtube.com/watch?v=fevMUCEjK2c" TargetMode="External"/><Relationship Id="rId12" Type="http://schemas.openxmlformats.org/officeDocument/2006/relationships/hyperlink" Target="https://www.ibm.com/docs/ru/elm/7.0.1?topic=testing-managing-test-artifact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jpg"/><Relationship Id="rId14" Type="http://schemas.openxmlformats.org/officeDocument/2006/relationships/hyperlink" Target="https://www.youtube.com/watch?v=Qo3kVXO6Ht4" TargetMode="External"/><Relationship Id="rId5" Type="http://schemas.openxmlformats.org/officeDocument/2006/relationships/styles" Target="styles.xml"/><Relationship Id="rId6" Type="http://schemas.openxmlformats.org/officeDocument/2006/relationships/hyperlink" Target="https://app.grammarly.com/?fbclid=IwAR1JP4GX6PNA6zvLLBMP_4hDlSC2LJhoIaKrsn1TeqNWb9tN0QJWxOHhNmI" TargetMode="Externa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